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bookmarkStart w:id="0" w:name="_GoBack"/>
      <w:r w:rsidRPr="00761D65">
        <w:rPr>
          <w:rFonts w:ascii="Arial" w:hAnsi="Arial" w:cs="Arial"/>
          <w:b/>
          <w:sz w:val="22"/>
          <w:szCs w:val="22"/>
        </w:rPr>
        <w:t>Gimnazija</w:t>
      </w:r>
      <w:r>
        <w:rPr>
          <w:rFonts w:ascii="Arial" w:hAnsi="Arial" w:cs="Arial"/>
          <w:b/>
          <w:sz w:val="22"/>
          <w:szCs w:val="22"/>
        </w:rPr>
        <w:t xml:space="preserve"> (GIM)</w:t>
      </w:r>
    </w:p>
    <w:bookmarkEnd w:id="0"/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761D65">
        <w:rPr>
          <w:rFonts w:ascii="Arial" w:hAnsi="Arial" w:cs="Arial"/>
          <w:sz w:val="22"/>
          <w:szCs w:val="22"/>
          <w:u w:val="single"/>
        </w:rPr>
        <w:t>Pojasnila k predmetniku</w:t>
      </w: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>Drugi tuji jezik so nemščina ali angleščina ali španščina. Nemščina v vseh letnikih poteka na dveh zahtevnostnih nivojih: osnovnem in višjem. Višji nivo izbirajo dijaki, ki so imeli v osnovni šoli TJ2 kot izbirni predmet najmanj dve šolski leti.</w:t>
      </w: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Glasba in likovna umetnost v 1. letniku sta na urniku v obsegu 52 ur letno. Pri obeh se 18 ur letno izvede izven urnika v okviru OIV (ogledi prireditev in razstav, ustvarjalne delavnice …). </w:t>
      </w: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Gimnazijski program omogoča šoli, da z </w:t>
      </w:r>
      <w:r w:rsidRPr="00761D65">
        <w:rPr>
          <w:rFonts w:ascii="Arial" w:hAnsi="Arial" w:cs="Arial"/>
          <w:b/>
          <w:sz w:val="22"/>
          <w:szCs w:val="22"/>
        </w:rPr>
        <w:t>nerazporejenimi</w:t>
      </w:r>
      <w:r w:rsidRPr="00761D65">
        <w:rPr>
          <w:rFonts w:ascii="Arial" w:hAnsi="Arial" w:cs="Arial"/>
          <w:sz w:val="22"/>
          <w:szCs w:val="22"/>
        </w:rPr>
        <w:t xml:space="preserve"> </w:t>
      </w:r>
      <w:r w:rsidRPr="00761D65">
        <w:rPr>
          <w:rFonts w:ascii="Arial" w:hAnsi="Arial" w:cs="Arial"/>
          <w:b/>
          <w:sz w:val="22"/>
          <w:szCs w:val="22"/>
        </w:rPr>
        <w:t>urami</w:t>
      </w:r>
      <w:r w:rsidRPr="00761D65">
        <w:rPr>
          <w:rFonts w:ascii="Arial" w:hAnsi="Arial" w:cs="Arial"/>
          <w:sz w:val="22"/>
          <w:szCs w:val="22"/>
        </w:rPr>
        <w:t xml:space="preserve"> (3 ure v 2. letniku, do 5 ur v 3. letniku, do 11 ur v 4. letniku na oddelek) upošteva specifične interese dijakov, specifiko šole in okolja ter izbirne maturitetne predmete.</w:t>
      </w:r>
    </w:p>
    <w:p w:rsidR="00B36A65" w:rsidRPr="00761D65" w:rsidRDefault="00B36A65" w:rsidP="00B36A6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V 1. letniku tako ne bo odstopanj med nacionalnim in izvedbenim predmetnikom. </w:t>
      </w:r>
    </w:p>
    <w:p w:rsidR="00B36A65" w:rsidRPr="00761D65" w:rsidRDefault="00B36A65" w:rsidP="00B36A6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V 2. letniku se obveznemu delu predmetnika dodajo po ena ura tedensko </w:t>
      </w:r>
      <w:r w:rsidRPr="00761D65">
        <w:rPr>
          <w:rFonts w:ascii="Arial" w:hAnsi="Arial" w:cs="Arial"/>
          <w:b/>
          <w:sz w:val="22"/>
          <w:szCs w:val="22"/>
        </w:rPr>
        <w:t>SLO</w:t>
      </w:r>
      <w:r w:rsidRPr="00761D65">
        <w:rPr>
          <w:rFonts w:ascii="Arial" w:hAnsi="Arial" w:cs="Arial"/>
          <w:sz w:val="22"/>
          <w:szCs w:val="22"/>
        </w:rPr>
        <w:t xml:space="preserve"> in</w:t>
      </w:r>
      <w:r w:rsidRPr="00761D65">
        <w:rPr>
          <w:rFonts w:ascii="Arial" w:hAnsi="Arial" w:cs="Arial"/>
          <w:b/>
          <w:sz w:val="22"/>
          <w:szCs w:val="22"/>
        </w:rPr>
        <w:t xml:space="preserve"> MA</w:t>
      </w:r>
      <w:r w:rsidRPr="00761D65">
        <w:rPr>
          <w:rFonts w:ascii="Arial" w:hAnsi="Arial" w:cs="Arial"/>
          <w:sz w:val="22"/>
          <w:szCs w:val="22"/>
        </w:rPr>
        <w:t xml:space="preserve"> na oddelek</w:t>
      </w:r>
      <w:r w:rsidRPr="00761D65">
        <w:rPr>
          <w:rFonts w:ascii="Arial" w:hAnsi="Arial" w:cs="Arial"/>
          <w:b/>
          <w:sz w:val="22"/>
          <w:szCs w:val="22"/>
        </w:rPr>
        <w:t xml:space="preserve">, </w:t>
      </w:r>
      <w:r w:rsidRPr="00761D65">
        <w:rPr>
          <w:rFonts w:ascii="Arial" w:hAnsi="Arial" w:cs="Arial"/>
          <w:sz w:val="22"/>
          <w:szCs w:val="22"/>
        </w:rPr>
        <w:t xml:space="preserve">za tretjo uro se dijaki odločajo med </w:t>
      </w:r>
      <w:r w:rsidRPr="00761D65">
        <w:rPr>
          <w:rFonts w:ascii="Arial" w:hAnsi="Arial" w:cs="Arial"/>
          <w:b/>
          <w:sz w:val="22"/>
          <w:szCs w:val="22"/>
        </w:rPr>
        <w:t>INF</w:t>
      </w:r>
      <w:r>
        <w:rPr>
          <w:rFonts w:ascii="Arial" w:hAnsi="Arial" w:cs="Arial"/>
          <w:sz w:val="22"/>
          <w:szCs w:val="22"/>
        </w:rPr>
        <w:t xml:space="preserve">, </w:t>
      </w:r>
      <w:r w:rsidRPr="00761D65">
        <w:rPr>
          <w:rFonts w:ascii="Arial" w:hAnsi="Arial" w:cs="Arial"/>
          <w:b/>
          <w:sz w:val="22"/>
          <w:szCs w:val="22"/>
        </w:rPr>
        <w:t>ŠOK</w:t>
      </w:r>
      <w:r w:rsidRPr="00761D65">
        <w:rPr>
          <w:rFonts w:ascii="Arial" w:hAnsi="Arial" w:cs="Arial"/>
          <w:sz w:val="22"/>
          <w:szCs w:val="22"/>
        </w:rPr>
        <w:t xml:space="preserve"> (študij okoljske vzgoje)</w:t>
      </w:r>
      <w:r>
        <w:rPr>
          <w:rFonts w:ascii="Arial" w:hAnsi="Arial" w:cs="Arial"/>
          <w:sz w:val="22"/>
          <w:szCs w:val="22"/>
        </w:rPr>
        <w:t xml:space="preserve"> ali </w:t>
      </w:r>
      <w:r w:rsidRPr="00643115">
        <w:rPr>
          <w:rFonts w:ascii="Arial" w:hAnsi="Arial" w:cs="Arial"/>
          <w:b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 (podjetništvo)</w:t>
      </w:r>
      <w:r w:rsidRPr="00761D65">
        <w:rPr>
          <w:rFonts w:ascii="Arial" w:hAnsi="Arial" w:cs="Arial"/>
          <w:sz w:val="22"/>
          <w:szCs w:val="22"/>
        </w:rPr>
        <w:t xml:space="preserve">. </w:t>
      </w:r>
    </w:p>
    <w:p w:rsidR="00B36A65" w:rsidRPr="00260DEF" w:rsidRDefault="00B36A65" w:rsidP="00B36A6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  <w:u w:val="single"/>
        </w:rPr>
        <w:t>V 3. letniku</w:t>
      </w:r>
      <w:r w:rsidRPr="00761D65">
        <w:rPr>
          <w:rFonts w:ascii="Arial" w:hAnsi="Arial" w:cs="Arial"/>
          <w:sz w:val="22"/>
          <w:szCs w:val="22"/>
        </w:rPr>
        <w:t xml:space="preserve"> se obveznemu delu predmetnika doda ena ura tedensko za </w:t>
      </w:r>
      <w:r w:rsidRPr="00761D65">
        <w:rPr>
          <w:rFonts w:ascii="Arial" w:hAnsi="Arial" w:cs="Arial"/>
          <w:b/>
          <w:sz w:val="22"/>
          <w:szCs w:val="22"/>
        </w:rPr>
        <w:t>TJ 1</w:t>
      </w:r>
      <w:r w:rsidRPr="00761D65">
        <w:rPr>
          <w:rFonts w:ascii="Arial" w:hAnsi="Arial" w:cs="Arial"/>
          <w:sz w:val="22"/>
          <w:szCs w:val="22"/>
        </w:rPr>
        <w:t xml:space="preserve"> na oddelek ter dva krat po eno uro za naslednje izbirne predmete:, </w:t>
      </w:r>
      <w:r w:rsidRPr="00761D65">
        <w:rPr>
          <w:rFonts w:ascii="Arial" w:hAnsi="Arial" w:cs="Arial"/>
          <w:b/>
          <w:sz w:val="22"/>
          <w:szCs w:val="22"/>
        </w:rPr>
        <w:t>ZGO</w:t>
      </w:r>
      <w:r w:rsidRPr="00761D65">
        <w:rPr>
          <w:rFonts w:ascii="Arial" w:hAnsi="Arial" w:cs="Arial"/>
          <w:sz w:val="22"/>
          <w:szCs w:val="22"/>
        </w:rPr>
        <w:t>,</w:t>
      </w:r>
      <w:r w:rsidRPr="00761D65">
        <w:rPr>
          <w:rFonts w:ascii="Arial" w:hAnsi="Arial" w:cs="Arial"/>
          <w:b/>
          <w:sz w:val="22"/>
          <w:szCs w:val="22"/>
        </w:rPr>
        <w:t xml:space="preserve"> </w:t>
      </w:r>
      <w:r w:rsidRPr="00761D65">
        <w:rPr>
          <w:rFonts w:ascii="Arial" w:hAnsi="Arial" w:cs="Arial"/>
          <w:b/>
          <w:color w:val="000000"/>
          <w:sz w:val="22"/>
          <w:szCs w:val="22"/>
        </w:rPr>
        <w:t>TJ 2 (NE, ŠPA, AN), GEO, SOC, PSI, FI, KE, BI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761D65">
        <w:rPr>
          <w:rFonts w:ascii="Arial" w:hAnsi="Arial" w:cs="Arial"/>
          <w:b/>
          <w:color w:val="000000"/>
          <w:sz w:val="22"/>
          <w:szCs w:val="22"/>
        </w:rPr>
        <w:t>INF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C63FD">
        <w:rPr>
          <w:rFonts w:ascii="Arial" w:hAnsi="Arial" w:cs="Arial"/>
          <w:b/>
          <w:sz w:val="22"/>
          <w:szCs w:val="22"/>
        </w:rPr>
        <w:t xml:space="preserve">in </w:t>
      </w:r>
      <w:r w:rsidRPr="00260DEF">
        <w:rPr>
          <w:rFonts w:ascii="Arial" w:hAnsi="Arial" w:cs="Arial"/>
          <w:b/>
          <w:sz w:val="22"/>
          <w:szCs w:val="22"/>
        </w:rPr>
        <w:t xml:space="preserve">EKN </w:t>
      </w:r>
      <w:r w:rsidRPr="00260DEF">
        <w:rPr>
          <w:rFonts w:ascii="Arial" w:hAnsi="Arial" w:cs="Arial"/>
          <w:sz w:val="22"/>
          <w:szCs w:val="22"/>
        </w:rPr>
        <w:t>(če bo dovolj kandidatov).</w:t>
      </w:r>
    </w:p>
    <w:p w:rsidR="00B36A65" w:rsidRPr="00761D65" w:rsidRDefault="00B36A65" w:rsidP="00B36A6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260DEF">
        <w:rPr>
          <w:rFonts w:ascii="Arial" w:hAnsi="Arial" w:cs="Arial"/>
          <w:sz w:val="22"/>
          <w:szCs w:val="22"/>
          <w:u w:val="single"/>
        </w:rPr>
        <w:t>V 4. letniku</w:t>
      </w:r>
      <w:r w:rsidRPr="00260DEF">
        <w:rPr>
          <w:rFonts w:ascii="Arial" w:hAnsi="Arial" w:cs="Arial"/>
          <w:sz w:val="22"/>
          <w:szCs w:val="22"/>
        </w:rPr>
        <w:t xml:space="preserve"> so nerazporejene ure namenjene pripravi</w:t>
      </w:r>
      <w:r w:rsidRPr="00761D65">
        <w:rPr>
          <w:rFonts w:ascii="Arial" w:hAnsi="Arial" w:cs="Arial"/>
          <w:color w:val="000000"/>
          <w:sz w:val="22"/>
          <w:szCs w:val="22"/>
        </w:rPr>
        <w:t xml:space="preserve"> na maturo. </w:t>
      </w: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>Maturitetni predmeti so:</w:t>
      </w:r>
    </w:p>
    <w:p w:rsidR="00B36A65" w:rsidRPr="00761D65" w:rsidRDefault="00B36A65" w:rsidP="00B36A65">
      <w:pPr>
        <w:ind w:left="240"/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ab/>
        <w:t xml:space="preserve">obvezni: </w:t>
      </w:r>
      <w:r>
        <w:rPr>
          <w:rFonts w:ascii="Arial" w:hAnsi="Arial" w:cs="Arial"/>
          <w:b/>
          <w:color w:val="000000"/>
          <w:sz w:val="22"/>
          <w:szCs w:val="22"/>
        </w:rPr>
        <w:t>SLO, TJ1</w:t>
      </w:r>
      <w:r w:rsidRPr="00761D65">
        <w:rPr>
          <w:rFonts w:ascii="Arial" w:hAnsi="Arial" w:cs="Arial"/>
          <w:b/>
          <w:color w:val="000000"/>
          <w:sz w:val="22"/>
          <w:szCs w:val="22"/>
        </w:rPr>
        <w:t xml:space="preserve"> in MA</w:t>
      </w:r>
      <w:r w:rsidRPr="00761D65">
        <w:rPr>
          <w:rFonts w:ascii="Arial" w:hAnsi="Arial" w:cs="Arial"/>
          <w:color w:val="000000"/>
          <w:sz w:val="22"/>
          <w:szCs w:val="22"/>
        </w:rPr>
        <w:t>;</w:t>
      </w:r>
    </w:p>
    <w:p w:rsidR="00B36A65" w:rsidRPr="00761D65" w:rsidRDefault="00B36A65" w:rsidP="00B36A65">
      <w:pPr>
        <w:ind w:left="240"/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ab/>
        <w:t xml:space="preserve">izbirni: </w:t>
      </w:r>
      <w:r w:rsidRPr="00761D65">
        <w:rPr>
          <w:rFonts w:ascii="Arial" w:hAnsi="Arial" w:cs="Arial"/>
          <w:b/>
          <w:color w:val="000000"/>
          <w:sz w:val="22"/>
          <w:szCs w:val="22"/>
        </w:rPr>
        <w:t>TJ 2</w:t>
      </w:r>
      <w:r w:rsidRPr="00761D6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61D65">
        <w:rPr>
          <w:rFonts w:ascii="Arial" w:hAnsi="Arial" w:cs="Arial"/>
          <w:b/>
          <w:color w:val="000000"/>
          <w:sz w:val="22"/>
          <w:szCs w:val="22"/>
        </w:rPr>
        <w:t>FI, KE, BI, ZGO, GEO, SOC, PSI, INF</w:t>
      </w:r>
      <w:r w:rsidRPr="00761D65">
        <w:rPr>
          <w:rFonts w:ascii="Arial" w:hAnsi="Arial" w:cs="Arial"/>
          <w:color w:val="000000"/>
          <w:sz w:val="22"/>
          <w:szCs w:val="22"/>
        </w:rPr>
        <w:t>.</w:t>
      </w:r>
    </w:p>
    <w:p w:rsidR="00B36A65" w:rsidRPr="00761D65" w:rsidRDefault="00B36A65" w:rsidP="00B36A65">
      <w:pPr>
        <w:ind w:left="240"/>
        <w:rPr>
          <w:rFonts w:ascii="Arial" w:hAnsi="Arial" w:cs="Arial"/>
          <w:color w:val="000000"/>
          <w:sz w:val="22"/>
          <w:szCs w:val="22"/>
        </w:rPr>
      </w:pPr>
    </w:p>
    <w:p w:rsidR="00B36A65" w:rsidRPr="00761D65" w:rsidRDefault="00B36A65" w:rsidP="00B36A65">
      <w:pPr>
        <w:rPr>
          <w:rFonts w:ascii="Arial" w:hAnsi="Arial" w:cs="Arial"/>
          <w:color w:val="000000"/>
          <w:sz w:val="22"/>
          <w:szCs w:val="22"/>
        </w:rPr>
      </w:pPr>
      <w:r w:rsidRPr="00761D65">
        <w:rPr>
          <w:rFonts w:ascii="Arial" w:hAnsi="Arial" w:cs="Arial"/>
          <w:color w:val="000000"/>
          <w:sz w:val="22"/>
          <w:szCs w:val="22"/>
        </w:rPr>
        <w:t xml:space="preserve">Za MA-višji nivo se v tem šolskem letu ne oblikuje </w:t>
      </w:r>
      <w:r w:rsidRPr="00761D65">
        <w:rPr>
          <w:rFonts w:ascii="Arial" w:hAnsi="Arial" w:cs="Arial"/>
          <w:color w:val="000000"/>
          <w:sz w:val="22"/>
          <w:szCs w:val="22"/>
          <w:u w:val="single"/>
        </w:rPr>
        <w:t>ločena</w:t>
      </w:r>
      <w:r w:rsidRPr="00761D65">
        <w:rPr>
          <w:rFonts w:ascii="Arial" w:hAnsi="Arial" w:cs="Arial"/>
          <w:color w:val="000000"/>
          <w:sz w:val="22"/>
          <w:szCs w:val="22"/>
        </w:rPr>
        <w:t xml:space="preserve"> skupina.</w:t>
      </w: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</w:p>
    <w:p w:rsidR="00B36A65" w:rsidRPr="000545CB" w:rsidRDefault="00B36A65" w:rsidP="00B36A65">
      <w:pPr>
        <w:pStyle w:val="H3"/>
        <w:spacing w:before="0" w:after="0"/>
        <w:rPr>
          <w:rFonts w:ascii="Arial" w:hAnsi="Arial" w:cs="Arial"/>
          <w:snapToGrid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br w:type="page"/>
      </w:r>
      <w:r w:rsidRPr="000545CB">
        <w:rPr>
          <w:rFonts w:ascii="Arial" w:hAnsi="Arial" w:cs="Arial"/>
          <w:snapToGrid/>
          <w:sz w:val="22"/>
          <w:szCs w:val="22"/>
        </w:rPr>
        <w:lastRenderedPageBreak/>
        <w:t>GIMNAZIJA – nacionalni predmetnik</w:t>
      </w: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499"/>
        <w:gridCol w:w="533"/>
        <w:gridCol w:w="533"/>
        <w:gridCol w:w="533"/>
        <w:gridCol w:w="533"/>
        <w:gridCol w:w="533"/>
        <w:gridCol w:w="534"/>
        <w:gridCol w:w="942"/>
        <w:gridCol w:w="1028"/>
      </w:tblGrid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PREDMETI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1. letnik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2. letnik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3. letnik</w:t>
            </w:r>
          </w:p>
        </w:tc>
        <w:tc>
          <w:tcPr>
            <w:tcW w:w="106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4. letnik</w:t>
            </w:r>
          </w:p>
        </w:tc>
        <w:tc>
          <w:tcPr>
            <w:tcW w:w="942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skupno</w:t>
            </w: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br/>
              <w:t xml:space="preserve">št. ur v </w:t>
            </w:r>
            <w:proofErr w:type="spellStart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progra</w:t>
            </w:r>
            <w:proofErr w:type="spellEnd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028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maturi-</w:t>
            </w:r>
            <w:proofErr w:type="spellStart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tetni</w:t>
            </w:r>
            <w:proofErr w:type="spellEnd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br/>
              <w:t>standard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10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106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št. ur </w:t>
            </w:r>
          </w:p>
        </w:tc>
        <w:tc>
          <w:tcPr>
            <w:tcW w:w="942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1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teden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942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 - Obvezni predmeti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Slovenščina (SLO)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Matematika (MAT)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560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Prvi tuji jezik (TJ1)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Drugi tuji jezik (TJ2)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Zgodovina (ZGO)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Športna vzgoja (ŠVZ)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420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Glasba (GV)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1,5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52+18*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Likovna umetnost (LV)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1,5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52+18*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Geografija (GEO)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Biologija (BIO)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315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Kemija (KE)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315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Fizika (FI)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315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Psihologija** (PSI)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Sociologija** (SOC)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Filozofija** (FIL)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Informatika (INF)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II - Izbirni predmeti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1-3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35-105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35-175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8-12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280-420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490-630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III - Obvezne izbirne vsebine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90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90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90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300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Skupaj (I+II+III)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1209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1210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1210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29-33</w:t>
            </w: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1045-1185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4675-4815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4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Število tednov pouka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140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Število tednov OIV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6A65" w:rsidRPr="00F37B37" w:rsidTr="00F73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 xml:space="preserve">Skupno število tednov </w:t>
            </w:r>
            <w:proofErr w:type="spellStart"/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izo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bražev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38</w:t>
            </w:r>
          </w:p>
        </w:tc>
        <w:tc>
          <w:tcPr>
            <w:tcW w:w="53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36</w:t>
            </w:r>
          </w:p>
        </w:tc>
        <w:tc>
          <w:tcPr>
            <w:tcW w:w="9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7B37">
              <w:rPr>
                <w:rFonts w:ascii="Arial Narrow" w:hAnsi="Arial Narrow" w:cs="Arial"/>
                <w:b/>
                <w:sz w:val="22"/>
                <w:szCs w:val="22"/>
              </w:rPr>
              <w:t>150</w:t>
            </w:r>
          </w:p>
        </w:tc>
        <w:tc>
          <w:tcPr>
            <w:tcW w:w="10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36A65" w:rsidRPr="00F37B37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36A65" w:rsidRDefault="00B36A65" w:rsidP="00B36A65">
      <w:pPr>
        <w:rPr>
          <w:rFonts w:ascii="Arial" w:hAnsi="Arial" w:cs="Arial"/>
          <w:sz w:val="22"/>
          <w:szCs w:val="22"/>
        </w:rPr>
      </w:pP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b/>
          <w:sz w:val="22"/>
          <w:szCs w:val="22"/>
        </w:rPr>
        <w:t>Obvezne izbirne vsebine</w:t>
      </w:r>
      <w:r w:rsidRPr="00761D65">
        <w:rPr>
          <w:rFonts w:ascii="Arial" w:hAnsi="Arial" w:cs="Arial"/>
          <w:sz w:val="22"/>
          <w:szCs w:val="22"/>
        </w:rPr>
        <w:t xml:space="preserve"> (OIV) </w:t>
      </w: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>so pomemben del gimnazijskega programa, ki dijakom omogočajo pridobitev dodatnih znanj in spretnosti.</w:t>
      </w:r>
      <w:r>
        <w:rPr>
          <w:rFonts w:ascii="Arial" w:hAnsi="Arial" w:cs="Arial"/>
          <w:sz w:val="22"/>
          <w:szCs w:val="22"/>
        </w:rPr>
        <w:t xml:space="preserve"> </w:t>
      </w:r>
      <w:r w:rsidRPr="00761D65">
        <w:rPr>
          <w:rFonts w:ascii="Arial" w:hAnsi="Arial" w:cs="Arial"/>
          <w:sz w:val="22"/>
          <w:szCs w:val="22"/>
        </w:rPr>
        <w:t>OIV so sestavljene iz obveznega dela za vse dijake (obvezna ponudba šole) in iz dijakove proste izbire (podroben načrt – glej prilogo LDN in katalog OIV in IND).</w:t>
      </w:r>
    </w:p>
    <w:p w:rsidR="00B36A65" w:rsidRPr="00761D65" w:rsidRDefault="00B36A65" w:rsidP="00B36A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  <w:u w:val="single"/>
        </w:rPr>
        <w:t>Organizator</w:t>
      </w:r>
      <w:r w:rsidRPr="00761D65">
        <w:rPr>
          <w:rFonts w:ascii="Arial" w:hAnsi="Arial" w:cs="Arial"/>
          <w:sz w:val="22"/>
          <w:szCs w:val="22"/>
        </w:rPr>
        <w:t xml:space="preserve"> OIV je </w:t>
      </w:r>
      <w:r>
        <w:rPr>
          <w:rFonts w:ascii="Arial" w:hAnsi="Arial" w:cs="Arial"/>
          <w:b/>
          <w:sz w:val="22"/>
          <w:szCs w:val="22"/>
        </w:rPr>
        <w:t xml:space="preserve">Mojca Vrečko, </w:t>
      </w:r>
      <w:r>
        <w:rPr>
          <w:rFonts w:ascii="Arial" w:hAnsi="Arial" w:cs="Arial"/>
          <w:sz w:val="22"/>
          <w:szCs w:val="22"/>
        </w:rPr>
        <w:t>sodeluje Robi O</w:t>
      </w:r>
      <w:r w:rsidRPr="00BD7EE4">
        <w:rPr>
          <w:rFonts w:ascii="Arial" w:hAnsi="Arial" w:cs="Arial"/>
          <w:sz w:val="22"/>
          <w:szCs w:val="22"/>
        </w:rPr>
        <w:t>brul</w:t>
      </w:r>
      <w:r w:rsidRPr="00761D65">
        <w:rPr>
          <w:rFonts w:ascii="Arial" w:hAnsi="Arial" w:cs="Arial"/>
          <w:b/>
          <w:sz w:val="22"/>
          <w:szCs w:val="22"/>
        </w:rPr>
        <w:t xml:space="preserve"> </w:t>
      </w:r>
      <w:r w:rsidRPr="00761D65">
        <w:rPr>
          <w:rFonts w:ascii="Arial" w:hAnsi="Arial" w:cs="Arial"/>
          <w:sz w:val="22"/>
          <w:szCs w:val="22"/>
        </w:rPr>
        <w:t>(program in poročilo za GIM)</w:t>
      </w:r>
      <w:r>
        <w:rPr>
          <w:rFonts w:ascii="Arial" w:hAnsi="Arial" w:cs="Arial"/>
          <w:sz w:val="22"/>
          <w:szCs w:val="22"/>
        </w:rPr>
        <w:t>.</w:t>
      </w:r>
    </w:p>
    <w:p w:rsidR="00B36A65" w:rsidRDefault="00B36A65" w:rsidP="00B36A6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Šola mora ponuditi najmanj 15 ur navedenih vsebin pod prosto izbiro, izvaja pa jih, če se zanje prijavi dovolj dijakov v skladu z normativi za oblikovanje skupin. </w:t>
      </w: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Za šolo kot ponudnika oziroma organizatorja so te vsebine obvezne, za dijaka pa ne. </w:t>
      </w:r>
    </w:p>
    <w:p w:rsidR="00B36A65" w:rsidRPr="00761D65" w:rsidRDefault="00B36A65" w:rsidP="00B36A6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t xml:space="preserve">Če dijaki ne izberejo vsebin iz obvezne ponudbe šole, morajo do predpisanega števila ur v predmetniku izbrati druge vsebine iz Kataloga obveznih izbirnih vsebin šole ali kataloga Zavoda RS za šolstvo. </w:t>
      </w:r>
    </w:p>
    <w:p w:rsidR="00B36A65" w:rsidRDefault="00B36A65" w:rsidP="00B36A65">
      <w:pPr>
        <w:rPr>
          <w:rFonts w:ascii="Arial" w:hAnsi="Arial" w:cs="Arial"/>
          <w:sz w:val="22"/>
          <w:szCs w:val="22"/>
        </w:rPr>
      </w:pPr>
      <w:r w:rsidRPr="00761D65">
        <w:rPr>
          <w:rFonts w:ascii="Arial" w:hAnsi="Arial" w:cs="Arial"/>
          <w:sz w:val="22"/>
          <w:szCs w:val="22"/>
        </w:rPr>
        <w:lastRenderedPageBreak/>
        <w:t xml:space="preserve">Dejavnosti v okviru proste izbire lahko izkažejo tudi s potrdili zunanjih institucij, pri katerih se dejavnosti udeležujejo.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677"/>
      </w:tblGrid>
      <w:tr w:rsidR="00B36A65" w:rsidRPr="000545CB" w:rsidTr="00F730C6">
        <w:trPr>
          <w:jc w:val="center"/>
        </w:trPr>
        <w:tc>
          <w:tcPr>
            <w:tcW w:w="7276" w:type="dxa"/>
            <w:gridSpan w:val="2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0545CB">
              <w:rPr>
                <w:rFonts w:ascii="Arial Narrow" w:hAnsi="Arial Narrow" w:cs="Arial"/>
                <w:b/>
                <w:sz w:val="22"/>
                <w:szCs w:val="22"/>
              </w:rPr>
              <w:t>Vsebine, obvezne za vse (za vsa leta šolanja)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pStyle w:val="Naslov2"/>
              <w:rPr>
                <w:rFonts w:ascii="Arial Narrow" w:hAnsi="Arial Narrow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b w:val="0"/>
                <w:bCs w:val="0"/>
                <w:i w:val="0"/>
                <w:iCs w:val="0"/>
                <w:sz w:val="22"/>
                <w:szCs w:val="22"/>
              </w:rPr>
              <w:t>Vsebine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pStyle w:val="Naslov2"/>
              <w:rPr>
                <w:rFonts w:ascii="Arial Narrow" w:hAnsi="Arial Narrow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Število ur 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državljanska kultura (aktiv DZN)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 xml:space="preserve">15 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knjižnična informacijska znanja (knjižničarka)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 xml:space="preserve">15 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kulturno–umetniške vsebine (aktiv SLO, UM, Umetnije)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športni dnevi (aktiv ŠV)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zdravstvena vzgoja * (aktiv NAR)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vzgoja za družino, mir in nenasilje (aktiv DZN)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kulturno-umetniške vsebine s področja glasbe (GV)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kulturno-umetniške vsebine s področja likovnosti (LV)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</w:tr>
      <w:tr w:rsidR="00B36A65" w:rsidRPr="000545CB" w:rsidTr="00F730C6">
        <w:trPr>
          <w:cantSplit/>
          <w:jc w:val="center"/>
        </w:trPr>
        <w:tc>
          <w:tcPr>
            <w:tcW w:w="7276" w:type="dxa"/>
            <w:gridSpan w:val="2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b/>
                <w:sz w:val="22"/>
                <w:szCs w:val="22"/>
              </w:rPr>
              <w:t>Vsebine, povezane z dijakovo prosto izbiro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545CB">
              <w:rPr>
                <w:rFonts w:ascii="Arial Narrow" w:hAnsi="Arial Narrow" w:cs="Arial"/>
                <w:sz w:val="22"/>
                <w:szCs w:val="22"/>
              </w:rPr>
              <w:t>medpredmetne</w:t>
            </w:r>
            <w:proofErr w:type="spellEnd"/>
            <w:r w:rsidRPr="000545CB">
              <w:rPr>
                <w:rFonts w:ascii="Arial Narrow" w:hAnsi="Arial Narrow" w:cs="Arial"/>
                <w:sz w:val="22"/>
                <w:szCs w:val="22"/>
              </w:rPr>
              <w:t xml:space="preserve"> vsebine z ekskurzijo (J. Županič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metodologije raziskovalnega dela (mentorji v okviru RD)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obvladovanje tipkovnice (aktiv EKN)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prostovoljno delo (U. Krušič)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prva pomoč *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športni tabori in šole v naravi (aktiv ŠV, T. Horvat)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učenje za učenje (ŠSS, proj, skupina)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verstva in etika (SOC)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36A65" w:rsidRPr="000545CB" w:rsidTr="00F730C6">
        <w:trPr>
          <w:jc w:val="center"/>
        </w:trPr>
        <w:tc>
          <w:tcPr>
            <w:tcW w:w="5599" w:type="dxa"/>
          </w:tcPr>
          <w:p w:rsidR="00B36A65" w:rsidRPr="000545CB" w:rsidRDefault="00B36A65" w:rsidP="00F730C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Skupaj:</w:t>
            </w:r>
          </w:p>
        </w:tc>
        <w:tc>
          <w:tcPr>
            <w:tcW w:w="1677" w:type="dxa"/>
          </w:tcPr>
          <w:p w:rsidR="00B36A65" w:rsidRPr="000545CB" w:rsidRDefault="00B36A65" w:rsidP="00F730C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45CB">
              <w:rPr>
                <w:rFonts w:ascii="Arial Narrow" w:hAnsi="Arial Narrow" w:cs="Arial"/>
                <w:sz w:val="22"/>
                <w:szCs w:val="22"/>
              </w:rPr>
              <w:t>300 ur</w:t>
            </w:r>
          </w:p>
        </w:tc>
      </w:tr>
    </w:tbl>
    <w:p w:rsidR="00B36A65" w:rsidRDefault="00B36A65" w:rsidP="00B36A65">
      <w:pPr>
        <w:rPr>
          <w:rFonts w:ascii="Arial" w:hAnsi="Arial" w:cs="Arial"/>
          <w:sz w:val="22"/>
          <w:szCs w:val="22"/>
        </w:rPr>
      </w:pPr>
    </w:p>
    <w:p w:rsidR="00C02C47" w:rsidRDefault="00831D10"/>
    <w:sectPr w:rsidR="00C0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331"/>
    <w:multiLevelType w:val="hybridMultilevel"/>
    <w:tmpl w:val="CDE21052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2DF"/>
    <w:multiLevelType w:val="multilevel"/>
    <w:tmpl w:val="A9C8D744"/>
    <w:lvl w:ilvl="0">
      <w:start w:val="3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5"/>
    <w:rsid w:val="000C4AA8"/>
    <w:rsid w:val="001C7DF1"/>
    <w:rsid w:val="00486770"/>
    <w:rsid w:val="00831D10"/>
    <w:rsid w:val="00B36A65"/>
    <w:rsid w:val="00D20846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36A6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36A65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customStyle="1" w:styleId="H3">
    <w:name w:val="H3"/>
    <w:basedOn w:val="Navaden"/>
    <w:next w:val="Navaden"/>
    <w:rsid w:val="00B36A65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B36A6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36A65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customStyle="1" w:styleId="H3">
    <w:name w:val="H3"/>
    <w:basedOn w:val="Navaden"/>
    <w:next w:val="Navaden"/>
    <w:rsid w:val="00B36A65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2018-02-01T12:14:00Z</dcterms:created>
  <dcterms:modified xsi:type="dcterms:W3CDTF">2018-02-01T12:32:00Z</dcterms:modified>
</cp:coreProperties>
</file>